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0BA91">
      <w:pPr>
        <w:pStyle w:val="6"/>
        <w:rPr>
          <w:rFonts w:hint="default" w:ascii="黑体" w:eastAsia="黑体"/>
          <w:sz w:val="32"/>
        </w:rPr>
      </w:pPr>
      <w:r>
        <w:rPr>
          <w:rFonts w:ascii="黑体" w:eastAsia="黑体"/>
          <w:sz w:val="32"/>
        </w:rPr>
        <w:t>附件2</w:t>
      </w:r>
    </w:p>
    <w:p w14:paraId="01C936C6">
      <w:pPr>
        <w:pStyle w:val="6"/>
        <w:rPr>
          <w:rFonts w:hint="default"/>
          <w:b/>
          <w:sz w:val="44"/>
        </w:rPr>
      </w:pPr>
    </w:p>
    <w:p w14:paraId="320E7DA5">
      <w:pPr>
        <w:pStyle w:val="6"/>
        <w:rPr>
          <w:rFonts w:hint="default"/>
          <w:b/>
          <w:sz w:val="44"/>
        </w:rPr>
      </w:pPr>
    </w:p>
    <w:p w14:paraId="3578CA5E">
      <w:pPr>
        <w:pStyle w:val="6"/>
        <w:rPr>
          <w:rFonts w:hint="default"/>
          <w:b/>
          <w:sz w:val="44"/>
        </w:rPr>
      </w:pPr>
    </w:p>
    <w:p w14:paraId="158ACB36">
      <w:pPr>
        <w:pStyle w:val="6"/>
        <w:rPr>
          <w:rFonts w:hint="default"/>
          <w:b/>
          <w:sz w:val="44"/>
        </w:rPr>
      </w:pPr>
    </w:p>
    <w:p w14:paraId="6903845E">
      <w:pPr>
        <w:pStyle w:val="6"/>
        <w:rPr>
          <w:rFonts w:hint="default"/>
          <w:b/>
          <w:sz w:val="44"/>
        </w:rPr>
      </w:pPr>
    </w:p>
    <w:p w14:paraId="09D61C2E">
      <w:pPr>
        <w:pStyle w:val="6"/>
        <w:rPr>
          <w:rFonts w:hint="default"/>
          <w:b/>
          <w:sz w:val="44"/>
        </w:rPr>
      </w:pPr>
    </w:p>
    <w:p w14:paraId="16FB7D59">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辽宁省沈阳市浑南区</w:t>
      </w:r>
    </w:p>
    <w:p w14:paraId="3E0B2DDD">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退役军人服务中心</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14:paraId="2EB37BCA">
      <w:pPr>
        <w:pStyle w:val="6"/>
        <w:jc w:val="center"/>
        <w:rPr>
          <w:rFonts w:hint="default" w:ascii="仿宋_GB2312" w:eastAsia="仿宋_GB2312"/>
          <w:b/>
          <w:sz w:val="52"/>
        </w:rPr>
      </w:pPr>
    </w:p>
    <w:p w14:paraId="1033CB36">
      <w:pPr>
        <w:pStyle w:val="6"/>
        <w:jc w:val="center"/>
        <w:rPr>
          <w:rFonts w:hint="default" w:ascii="仿宋_GB2312" w:eastAsia="仿宋_GB2312"/>
          <w:b/>
          <w:sz w:val="52"/>
        </w:rPr>
      </w:pPr>
    </w:p>
    <w:p w14:paraId="5A0D8886">
      <w:pPr>
        <w:pStyle w:val="6"/>
        <w:jc w:val="center"/>
        <w:rPr>
          <w:rFonts w:hint="default" w:ascii="Times New Roman" w:eastAsia="Times New Roman"/>
          <w:b/>
          <w:sz w:val="44"/>
          <w:u w:val="single"/>
        </w:rPr>
      </w:pPr>
    </w:p>
    <w:p w14:paraId="39FE4725">
      <w:pPr>
        <w:pStyle w:val="6"/>
        <w:jc w:val="center"/>
        <w:rPr>
          <w:rFonts w:hint="default" w:ascii="Times New Roman" w:eastAsia="Times New Roman"/>
          <w:b/>
          <w:sz w:val="44"/>
          <w:u w:val="single"/>
        </w:rPr>
      </w:pPr>
    </w:p>
    <w:p w14:paraId="5366E6C0">
      <w:pPr>
        <w:pStyle w:val="6"/>
        <w:jc w:val="center"/>
        <w:rPr>
          <w:rFonts w:hint="default" w:ascii="Times New Roman" w:eastAsia="Times New Roman"/>
          <w:b/>
          <w:sz w:val="44"/>
          <w:u w:val="single"/>
        </w:rPr>
      </w:pPr>
    </w:p>
    <w:p w14:paraId="38B612A2">
      <w:pPr>
        <w:pStyle w:val="6"/>
        <w:jc w:val="center"/>
        <w:rPr>
          <w:rFonts w:hint="default" w:ascii="Times New Roman" w:eastAsia="Times New Roman"/>
          <w:b/>
          <w:sz w:val="44"/>
          <w:u w:val="single"/>
        </w:rPr>
      </w:pPr>
    </w:p>
    <w:p w14:paraId="3987E574">
      <w:pPr>
        <w:pStyle w:val="6"/>
        <w:jc w:val="center"/>
        <w:rPr>
          <w:rFonts w:hint="default" w:ascii="Times New Roman" w:eastAsia="Times New Roman"/>
          <w:b/>
          <w:sz w:val="44"/>
          <w:u w:val="single"/>
        </w:rPr>
      </w:pPr>
    </w:p>
    <w:p w14:paraId="7E5E6466">
      <w:pPr>
        <w:pStyle w:val="6"/>
        <w:jc w:val="center"/>
        <w:rPr>
          <w:rFonts w:hint="default" w:ascii="Times New Roman" w:eastAsia="Times New Roman"/>
          <w:b/>
          <w:sz w:val="44"/>
          <w:u w:val="single"/>
        </w:rPr>
      </w:pPr>
    </w:p>
    <w:p w14:paraId="35BC16AD">
      <w:pPr>
        <w:pStyle w:val="6"/>
        <w:jc w:val="center"/>
        <w:rPr>
          <w:rFonts w:hint="default" w:ascii="Times New Roman" w:eastAsia="Times New Roman"/>
          <w:b/>
          <w:sz w:val="44"/>
          <w:u w:val="single"/>
        </w:rPr>
      </w:pPr>
    </w:p>
    <w:p w14:paraId="19B4292E">
      <w:pPr>
        <w:pStyle w:val="6"/>
        <w:jc w:val="center"/>
        <w:rPr>
          <w:rFonts w:hint="default" w:ascii="Times New Roman" w:eastAsia="Times New Roman"/>
          <w:b/>
          <w:sz w:val="44"/>
          <w:u w:val="single"/>
        </w:rPr>
      </w:pPr>
    </w:p>
    <w:p w14:paraId="0A187DCC">
      <w:pPr>
        <w:pStyle w:val="6"/>
        <w:jc w:val="center"/>
        <w:rPr>
          <w:rFonts w:hint="default" w:ascii="Times New Roman" w:eastAsia="Times New Roman"/>
          <w:b/>
          <w:sz w:val="44"/>
          <w:u w:val="single"/>
        </w:rPr>
      </w:pPr>
    </w:p>
    <w:p w14:paraId="4E91B1C9">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09644B1C">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rPr>
        <w:t>辽宁省沈阳市浑南区退役军人服务中心</w:t>
      </w:r>
      <w:r>
        <w:rPr>
          <w:rFonts w:ascii="黑体" w:eastAsia="黑体"/>
          <w:sz w:val="32"/>
        </w:rPr>
        <w:t>概况</w:t>
      </w:r>
    </w:p>
    <w:p w14:paraId="1FBC4306">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550B2D20">
      <w:pPr>
        <w:pStyle w:val="6"/>
        <w:spacing w:line="560" w:lineRule="exact"/>
        <w:rPr>
          <w:rFonts w:hint="default" w:ascii="仿宋_GB2312" w:eastAsia="仿宋_GB2312"/>
          <w:sz w:val="32"/>
        </w:rPr>
      </w:pPr>
      <w:r>
        <w:rPr>
          <w:rFonts w:ascii="仿宋_GB2312" w:eastAsia="仿宋_GB2312"/>
          <w:sz w:val="32"/>
        </w:rPr>
        <w:t>二、</w:t>
      </w:r>
      <w:r>
        <w:rPr>
          <w:rFonts w:hint="eastAsia" w:ascii="仿宋_GB2312" w:hAnsi="黑体" w:eastAsia="仿宋_GB2312"/>
          <w:sz w:val="32"/>
          <w:szCs w:val="32"/>
        </w:rPr>
        <w:t>浑南区退役军人服务中心</w:t>
      </w:r>
      <w:r>
        <w:rPr>
          <w:rFonts w:ascii="仿宋_GB2312" w:eastAsia="仿宋_GB2312"/>
          <w:sz w:val="32"/>
        </w:rPr>
        <w:t>构成</w:t>
      </w:r>
    </w:p>
    <w:p w14:paraId="1CC300C9">
      <w:pPr>
        <w:pStyle w:val="6"/>
        <w:spacing w:line="560" w:lineRule="exact"/>
        <w:rPr>
          <w:rFonts w:ascii="黑体" w:eastAsia="黑体"/>
          <w:sz w:val="32"/>
        </w:rPr>
      </w:pPr>
      <w:r>
        <w:rPr>
          <w:rFonts w:ascii="黑体" w:eastAsia="黑体"/>
          <w:sz w:val="32"/>
        </w:rPr>
        <w:t xml:space="preserve">第二部分    </w:t>
      </w:r>
      <w:r>
        <w:rPr>
          <w:rFonts w:hint="eastAsia" w:ascii="黑体" w:hAnsi="黑体" w:eastAsia="黑体"/>
          <w:sz w:val="32"/>
          <w:szCs w:val="32"/>
        </w:rPr>
        <w:t>辽宁省沈阳市浑南区退役军人服务中心</w:t>
      </w:r>
      <w:r>
        <w:rPr>
          <w:rFonts w:ascii="黑体" w:eastAsia="黑体"/>
          <w:sz w:val="32"/>
        </w:rPr>
        <w:t>2021年决算情况说明</w:t>
      </w:r>
    </w:p>
    <w:p w14:paraId="54258881">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3657EC14">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2885922E">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4FBA558E">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26A571E7">
      <w:pPr>
        <w:pStyle w:val="6"/>
        <w:spacing w:line="560" w:lineRule="exact"/>
        <w:rPr>
          <w:rFonts w:hint="default" w:ascii="黑体" w:eastAsia="黑体"/>
          <w:sz w:val="32"/>
        </w:rPr>
      </w:pPr>
      <w:r>
        <w:rPr>
          <w:rFonts w:ascii="仿宋_GB2312" w:eastAsia="仿宋_GB2312"/>
          <w:sz w:val="32"/>
        </w:rPr>
        <w:t>五、其他重要事项的情况说明</w:t>
      </w:r>
    </w:p>
    <w:p w14:paraId="719BA7E3">
      <w:pPr>
        <w:pStyle w:val="6"/>
        <w:spacing w:line="560" w:lineRule="exact"/>
        <w:rPr>
          <w:rFonts w:hint="default" w:ascii="黑体" w:eastAsia="黑体"/>
          <w:sz w:val="32"/>
        </w:rPr>
      </w:pPr>
      <w:r>
        <w:rPr>
          <w:rFonts w:ascii="黑体" w:eastAsia="黑体"/>
          <w:sz w:val="32"/>
        </w:rPr>
        <w:t>第三部分    名词解释</w:t>
      </w:r>
    </w:p>
    <w:p w14:paraId="366427B8">
      <w:pPr>
        <w:pStyle w:val="6"/>
        <w:spacing w:line="560" w:lineRule="exact"/>
        <w:rPr>
          <w:rFonts w:ascii="黑体" w:eastAsia="黑体"/>
          <w:sz w:val="32"/>
        </w:rPr>
      </w:pPr>
      <w:r>
        <w:rPr>
          <w:rFonts w:ascii="黑体" w:eastAsia="黑体"/>
          <w:sz w:val="32"/>
        </w:rPr>
        <w:t xml:space="preserve">第四部分    </w:t>
      </w:r>
      <w:r>
        <w:rPr>
          <w:rFonts w:hint="eastAsia" w:ascii="黑体" w:hAnsi="黑体" w:eastAsia="黑体"/>
          <w:sz w:val="32"/>
          <w:szCs w:val="32"/>
        </w:rPr>
        <w:t>辽宁省沈阳市浑南区退役军人服务中心</w:t>
      </w:r>
      <w:r>
        <w:rPr>
          <w:rFonts w:ascii="黑体" w:eastAsia="黑体"/>
          <w:sz w:val="32"/>
        </w:rPr>
        <w:t>2021年决算报表</w:t>
      </w:r>
    </w:p>
    <w:p w14:paraId="183ED76F">
      <w:pPr>
        <w:pStyle w:val="6"/>
        <w:spacing w:line="560" w:lineRule="exact"/>
        <w:rPr>
          <w:rFonts w:hint="default" w:ascii="仿宋_GB2312" w:eastAsia="仿宋_GB2312"/>
          <w:sz w:val="32"/>
        </w:rPr>
      </w:pPr>
      <w:r>
        <w:rPr>
          <w:rFonts w:ascii="仿宋_GB2312" w:eastAsia="仿宋_GB2312"/>
          <w:sz w:val="32"/>
        </w:rPr>
        <w:t>一、2021年度收入支出决算总表</w:t>
      </w:r>
    </w:p>
    <w:p w14:paraId="39707560">
      <w:pPr>
        <w:pStyle w:val="6"/>
        <w:spacing w:line="560" w:lineRule="exact"/>
        <w:rPr>
          <w:rFonts w:hint="default" w:ascii="仿宋_GB2312" w:eastAsia="仿宋_GB2312"/>
          <w:sz w:val="32"/>
        </w:rPr>
      </w:pPr>
      <w:r>
        <w:rPr>
          <w:rFonts w:ascii="仿宋_GB2312" w:eastAsia="仿宋_GB2312"/>
          <w:sz w:val="32"/>
        </w:rPr>
        <w:t>二、2021年度收入决算表</w:t>
      </w:r>
    </w:p>
    <w:p w14:paraId="6931542D">
      <w:pPr>
        <w:pStyle w:val="6"/>
        <w:spacing w:line="560" w:lineRule="exact"/>
        <w:rPr>
          <w:rFonts w:hint="default" w:ascii="仿宋_GB2312" w:eastAsia="仿宋_GB2312"/>
          <w:sz w:val="32"/>
        </w:rPr>
      </w:pPr>
      <w:r>
        <w:rPr>
          <w:rFonts w:ascii="仿宋_GB2312" w:eastAsia="仿宋_GB2312"/>
          <w:sz w:val="32"/>
        </w:rPr>
        <w:t>三、2021年度支出决算表</w:t>
      </w:r>
    </w:p>
    <w:p w14:paraId="241C3F9F">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08BE3223">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329C1FEC">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265FA8F8">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4FC0D1A1">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4F65E97B">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3BFD645B">
      <w:pPr>
        <w:pStyle w:val="6"/>
        <w:spacing w:line="560" w:lineRule="exact"/>
        <w:jc w:val="center"/>
        <w:rPr>
          <w:rFonts w:hint="default"/>
          <w:b/>
          <w:sz w:val="36"/>
        </w:rPr>
      </w:pPr>
    </w:p>
    <w:p w14:paraId="6B3BE81C">
      <w:pPr>
        <w:pStyle w:val="6"/>
        <w:spacing w:line="560" w:lineRule="exact"/>
        <w:ind w:firstLine="640"/>
        <w:jc w:val="center"/>
        <w:rPr>
          <w:b/>
          <w:sz w:val="36"/>
        </w:rPr>
      </w:pPr>
      <w:r>
        <w:rPr>
          <w:b/>
          <w:sz w:val="36"/>
        </w:rPr>
        <w:t xml:space="preserve">第一部分 </w:t>
      </w:r>
      <w:r>
        <w:rPr>
          <w:rFonts w:hint="eastAsia" w:ascii="宋体" w:hAnsi="宋体"/>
          <w:b/>
          <w:sz w:val="36"/>
          <w:szCs w:val="36"/>
        </w:rPr>
        <w:t>辽宁省沈阳市浑南区退役军人服务中心</w:t>
      </w:r>
      <w:r>
        <w:rPr>
          <w:b/>
          <w:sz w:val="36"/>
        </w:rPr>
        <w:t>概况</w:t>
      </w:r>
    </w:p>
    <w:p w14:paraId="1B254FD0">
      <w:pPr>
        <w:pStyle w:val="6"/>
        <w:spacing w:line="560" w:lineRule="exact"/>
        <w:ind w:firstLine="640" w:firstLineChars="200"/>
        <w:rPr>
          <w:rFonts w:ascii="黑体" w:eastAsia="黑体"/>
          <w:sz w:val="32"/>
        </w:rPr>
      </w:pPr>
      <w:r>
        <w:rPr>
          <w:rFonts w:ascii="黑体" w:eastAsia="黑体"/>
          <w:sz w:val="32"/>
        </w:rPr>
        <w:t>一、主要职责</w:t>
      </w:r>
    </w:p>
    <w:p w14:paraId="44E61B11">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lang w:val="en-US" w:eastAsia="zh-CN" w:bidi="ar"/>
        </w:rPr>
        <w:t xml:space="preserve">（一）贯彻落实党和国家关于退役军人工作的方针、政策和 </w:t>
      </w:r>
      <w:r>
        <w:rPr>
          <w:rFonts w:hint="default" w:ascii="仿宋_GB2312" w:hAnsi="宋体" w:eastAsia="仿宋_GB2312" w:cs="仿宋_GB2312"/>
          <w:color w:val="000000"/>
          <w:kern w:val="0"/>
          <w:sz w:val="31"/>
          <w:szCs w:val="31"/>
          <w:lang w:val="en-US" w:eastAsia="zh-CN" w:bidi="ar"/>
        </w:rPr>
        <w:t xml:space="preserve">法律法规，进一步加强退役军人服务保障体系建设，指导、协助街道退役军人服务部、社区（村）退役军人服务站开展规范化、标准化、信息化建设。 </w:t>
      </w:r>
    </w:p>
    <w:p w14:paraId="2B69C50E">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（二）协调落实退役军人就业创业、优抚帮扶、权益保障、数据信息采集等有关政策措施，组织实施退役军人适应性培训和职业教育、技能培训。 </w:t>
      </w:r>
    </w:p>
    <w:p w14:paraId="56E01DBB">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（三）协助做好辖区内单位退役军人组织关系、行政关系</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供给关系转接和档案移交，做好退役军人党员摸排登记等工作， </w:t>
      </w:r>
    </w:p>
    <w:p w14:paraId="59E94629">
      <w:pPr>
        <w:keepNext w:val="0"/>
        <w:keepLines w:val="0"/>
        <w:widowControl/>
        <w:suppressLineNumbers w:val="0"/>
        <w:jc w:val="left"/>
      </w:pPr>
      <w:r>
        <w:rPr>
          <w:rFonts w:hint="default" w:ascii="仿宋_GB2312" w:hAnsi="宋体" w:eastAsia="仿宋_GB2312" w:cs="仿宋_GB2312"/>
          <w:color w:val="000000"/>
          <w:kern w:val="0"/>
          <w:sz w:val="31"/>
          <w:szCs w:val="31"/>
          <w:lang w:val="en-US" w:eastAsia="zh-CN" w:bidi="ar"/>
        </w:rPr>
        <w:t xml:space="preserve">协助基层党组织做好党员教育管理服务工作。 </w:t>
      </w:r>
    </w:p>
    <w:p w14:paraId="62CB031E">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（四）协助做好退役军人和其他优抚对象来访接待、来信办理、网上信访和电话信访，上级领导、部门交办信访事项，落实信访事项首办责任，依法及时就地化解矛盾问题，依条件开展心 理疏导、法律服务等工作。 </w:t>
      </w:r>
    </w:p>
    <w:p w14:paraId="51A555DD">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（五）搭建政策咨询、沟通联系、学习交流等活动场所，针 对性、常态化开展精准帮扶援助、化解矛盾和思想稳定工作，把党和政府的关怀温暖传递给每一名退役军人。 </w:t>
      </w:r>
    </w:p>
    <w:p w14:paraId="1AFA3EA7">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（六）全面摸清、动态掌握、及时报告相关政策落实、工作开展，以及辖区内退役军人和其他优抚对象思想状况、家庭生活情况。 </w:t>
      </w:r>
    </w:p>
    <w:p w14:paraId="3406B15C">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（七）做好退役军人的服务员、宣讲员、信息员、联络员</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就近听取诉求，突出面对面、个性化、一对一服务，主动登门入 户宣讲政策、解决问题，送立功喜报、悬挂光荣牌。 </w:t>
      </w:r>
    </w:p>
    <w:p w14:paraId="29E4B1D0">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（八）做好“八一”、春节等重要节日及退役军人和其他优抚 对象出现临时性重大变故情况时开展走访慰问等工作。 </w:t>
      </w:r>
    </w:p>
    <w:p w14:paraId="70949F49">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（九）完成区委、区政府及区</w:t>
      </w:r>
      <w:r>
        <w:rPr>
          <w:rFonts w:hint="eastAsia" w:ascii="仿宋_GB2312" w:hAnsi="宋体" w:eastAsia="仿宋_GB2312" w:cs="仿宋_GB2312"/>
          <w:color w:val="000000"/>
          <w:kern w:val="0"/>
          <w:sz w:val="31"/>
          <w:szCs w:val="31"/>
          <w:lang w:val="en-US" w:eastAsia="zh-CN" w:bidi="ar"/>
        </w:rPr>
        <w:t>退役军人事务局</w:t>
      </w:r>
      <w:r>
        <w:rPr>
          <w:rFonts w:hint="default" w:ascii="仿宋_GB2312" w:hAnsi="宋体" w:eastAsia="仿宋_GB2312" w:cs="仿宋_GB2312"/>
          <w:color w:val="000000"/>
          <w:kern w:val="0"/>
          <w:sz w:val="31"/>
          <w:szCs w:val="31"/>
          <w:lang w:val="en-US" w:eastAsia="zh-CN" w:bidi="ar"/>
        </w:rPr>
        <w:t>交办的其他任务</w:t>
      </w:r>
      <w:r>
        <w:rPr>
          <w:rFonts w:hint="eastAsia" w:ascii="仿宋_GB2312" w:hAnsi="宋体" w:eastAsia="仿宋_GB2312" w:cs="仿宋_GB2312"/>
          <w:color w:val="000000"/>
          <w:kern w:val="0"/>
          <w:sz w:val="31"/>
          <w:szCs w:val="31"/>
          <w:lang w:val="en-US" w:eastAsia="zh-CN" w:bidi="ar"/>
        </w:rPr>
        <w:t>。</w:t>
      </w:r>
    </w:p>
    <w:p w14:paraId="601107C8">
      <w:pPr>
        <w:pStyle w:val="6"/>
        <w:spacing w:line="560" w:lineRule="exact"/>
        <w:ind w:firstLine="640"/>
        <w:rPr>
          <w:rFonts w:ascii="黑体" w:eastAsia="黑体"/>
          <w:sz w:val="32"/>
        </w:rPr>
      </w:pPr>
      <w:r>
        <w:rPr>
          <w:rFonts w:ascii="黑体" w:eastAsia="黑体"/>
          <w:sz w:val="32"/>
        </w:rPr>
        <w:t>二、</w:t>
      </w:r>
      <w:r>
        <w:rPr>
          <w:rFonts w:hint="eastAsia" w:ascii="黑体" w:hAnsi="黑体" w:eastAsia="黑体"/>
          <w:sz w:val="32"/>
          <w:szCs w:val="32"/>
        </w:rPr>
        <w:t>辽宁省沈阳市浑南区退役军人服务中心</w:t>
      </w:r>
      <w:r>
        <w:rPr>
          <w:rFonts w:ascii="黑体" w:eastAsia="黑体"/>
          <w:sz w:val="32"/>
        </w:rPr>
        <w:t>构成</w:t>
      </w:r>
    </w:p>
    <w:p w14:paraId="382461BF">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沈阳市浑南区退役军人服务中心</w:t>
      </w:r>
      <w:r>
        <w:rPr>
          <w:rFonts w:ascii="仿宋_GB2312" w:hAnsi="仿宋_GB2312" w:eastAsia="仿宋_GB2312" w:cs="仿宋_GB2312"/>
          <w:b/>
          <w:sz w:val="32"/>
          <w:szCs w:val="32"/>
        </w:rPr>
        <w:t>2021年部门决算编制范围的二级预算单位包括：</w:t>
      </w:r>
    </w:p>
    <w:p w14:paraId="0423E104">
      <w:pPr>
        <w:pStyle w:val="6"/>
        <w:spacing w:line="560" w:lineRule="exact"/>
        <w:ind w:firstLine="640"/>
        <w:rPr>
          <w:rFonts w:hint="default" w:ascii="仿宋_GB2312" w:eastAsia="仿宋_GB2312"/>
          <w:sz w:val="32"/>
        </w:rPr>
      </w:pPr>
      <w:r>
        <w:rPr>
          <w:rFonts w:hint="default" w:ascii="仿宋_GB2312" w:eastAsia="仿宋_GB2312"/>
          <w:sz w:val="32"/>
        </w:rPr>
        <w:t>1.</w:t>
      </w:r>
      <w:r>
        <w:rPr>
          <w:rFonts w:ascii="仿宋_GB2312" w:eastAsia="仿宋_GB2312"/>
          <w:sz w:val="32"/>
        </w:rPr>
        <w:t>沈阳市浑南区退役军人服务中心本级</w:t>
      </w:r>
    </w:p>
    <w:p w14:paraId="14A0EA26">
      <w:pPr>
        <w:pStyle w:val="6"/>
        <w:spacing w:line="560" w:lineRule="exact"/>
        <w:ind w:firstLine="640"/>
        <w:rPr>
          <w:rFonts w:hint="default" w:ascii="仿宋_GB2312" w:eastAsia="仿宋_GB2312"/>
          <w:sz w:val="32"/>
          <w:lang w:val="en-US" w:eastAsia="zh-CN"/>
        </w:rPr>
      </w:pPr>
      <w:r>
        <w:rPr>
          <w:rFonts w:hint="default" w:ascii="仿宋_GB2312" w:eastAsia="仿宋_GB2312"/>
          <w:sz w:val="32"/>
        </w:rPr>
        <w:t>2.</w:t>
      </w:r>
      <w:r>
        <w:rPr>
          <w:rFonts w:hint="eastAsia" w:ascii="仿宋_GB2312" w:eastAsia="仿宋_GB2312"/>
          <w:sz w:val="32"/>
          <w:lang w:val="en-US" w:eastAsia="zh-CN"/>
        </w:rPr>
        <w:t>本单位无下设机构</w:t>
      </w:r>
    </w:p>
    <w:p w14:paraId="7FCCE075">
      <w:pPr>
        <w:pStyle w:val="6"/>
        <w:spacing w:line="560" w:lineRule="exact"/>
        <w:jc w:val="center"/>
        <w:rPr>
          <w:rFonts w:hint="default"/>
          <w:b/>
          <w:sz w:val="36"/>
        </w:rPr>
      </w:pPr>
    </w:p>
    <w:p w14:paraId="77F169DD">
      <w:pPr>
        <w:pStyle w:val="6"/>
        <w:spacing w:line="560" w:lineRule="exact"/>
        <w:jc w:val="center"/>
        <w:rPr>
          <w:rFonts w:hint="default"/>
          <w:b/>
          <w:sz w:val="36"/>
        </w:rPr>
      </w:pPr>
      <w:r>
        <w:rPr>
          <w:b/>
          <w:sz w:val="36"/>
        </w:rPr>
        <w:t xml:space="preserve">第二部分 </w:t>
      </w:r>
      <w:r>
        <w:rPr>
          <w:rFonts w:hint="eastAsia" w:ascii="宋体" w:hAnsi="宋体"/>
          <w:b/>
          <w:sz w:val="36"/>
          <w:szCs w:val="36"/>
        </w:rPr>
        <w:t>辽宁省沈阳市浑南区退役军人服务中心</w:t>
      </w:r>
      <w:r>
        <w:rPr>
          <w:b/>
          <w:sz w:val="36"/>
        </w:rPr>
        <w:t>2021年决算情况说明</w:t>
      </w:r>
    </w:p>
    <w:p w14:paraId="6D70F53F">
      <w:pPr>
        <w:pStyle w:val="6"/>
        <w:spacing w:line="560" w:lineRule="exact"/>
        <w:ind w:firstLine="640" w:firstLineChars="200"/>
        <w:rPr>
          <w:rFonts w:hint="default" w:ascii="黑体" w:eastAsia="黑体"/>
          <w:sz w:val="32"/>
        </w:rPr>
      </w:pPr>
    </w:p>
    <w:p w14:paraId="04F40008">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5AEAAF96">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868.91</w:t>
      </w:r>
      <w:r>
        <w:rPr>
          <w:rFonts w:ascii="楷体_GB2312" w:eastAsia="楷体_GB2312"/>
          <w:b/>
          <w:sz w:val="32"/>
        </w:rPr>
        <w:t>万元</w:t>
      </w:r>
    </w:p>
    <w:p w14:paraId="2DA38034">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868.91</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868.91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31CF2D6C">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14:paraId="783A88AE">
      <w:pPr>
        <w:spacing w:line="540" w:lineRule="exact"/>
        <w:ind w:firstLine="660"/>
        <w:rPr>
          <w:rFonts w:hint="eastAsia" w:ascii="仿宋_GB2312" w:hAnsi="宋体" w:eastAsia="仿宋_GB2312"/>
          <w:sz w:val="32"/>
          <w:szCs w:val="32"/>
        </w:rPr>
      </w:pPr>
      <w:r>
        <w:rPr>
          <w:rFonts w:ascii="仿宋_GB2312" w:eastAsia="仿宋_GB2312"/>
          <w:sz w:val="32"/>
        </w:rPr>
        <w:t>与上年相比，今年收入增加</w:t>
      </w:r>
      <w:r>
        <w:rPr>
          <w:rFonts w:hint="eastAsia" w:ascii="仿宋_GB2312" w:eastAsia="仿宋_GB2312"/>
          <w:sz w:val="32"/>
          <w:lang w:val="en-US" w:eastAsia="zh-CN"/>
        </w:rPr>
        <w:t>428.71</w:t>
      </w:r>
      <w:r>
        <w:rPr>
          <w:rFonts w:ascii="仿宋_GB2312" w:eastAsia="仿宋_GB2312"/>
          <w:sz w:val="32"/>
        </w:rPr>
        <w:t>万元，增长</w:t>
      </w:r>
      <w:r>
        <w:rPr>
          <w:rFonts w:hint="eastAsia" w:ascii="仿宋_GB2312" w:eastAsia="仿宋_GB2312"/>
          <w:sz w:val="32"/>
          <w:lang w:val="en-US" w:eastAsia="zh-CN"/>
        </w:rPr>
        <w:t>97.39</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单位人员增加，人员支出增加；</w:t>
      </w:r>
      <w:r>
        <w:rPr>
          <w:rFonts w:ascii="黑体" w:eastAsia="黑体"/>
          <w:sz w:val="32"/>
        </w:rPr>
        <w:t>二是</w:t>
      </w:r>
      <w:r>
        <w:rPr>
          <w:rFonts w:hint="eastAsia" w:ascii="仿宋_GB2312" w:hAnsi="宋体" w:eastAsia="仿宋_GB2312"/>
          <w:sz w:val="32"/>
          <w:szCs w:val="32"/>
        </w:rPr>
        <w:t>项目增加，项目资金收入增加。</w:t>
      </w:r>
    </w:p>
    <w:p w14:paraId="47B37EB4">
      <w:pPr>
        <w:pStyle w:val="6"/>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868.91</w:t>
      </w:r>
      <w:r>
        <w:rPr>
          <w:rFonts w:ascii="楷体_GB2312" w:eastAsia="楷体_GB2312"/>
          <w:b/>
          <w:sz w:val="32"/>
        </w:rPr>
        <w:t>万元，</w:t>
      </w:r>
    </w:p>
    <w:p w14:paraId="60F94F05">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602.18</w:t>
      </w:r>
      <w:r>
        <w:rPr>
          <w:rFonts w:ascii="仿宋_GB2312" w:eastAsia="仿宋_GB2312"/>
          <w:sz w:val="32"/>
        </w:rPr>
        <w:t>万元，占支出总计的</w:t>
      </w:r>
      <w:r>
        <w:rPr>
          <w:rFonts w:hint="eastAsia" w:ascii="仿宋_GB2312" w:eastAsia="仿宋_GB2312"/>
          <w:sz w:val="32"/>
          <w:lang w:val="en-US" w:eastAsia="zh-CN"/>
        </w:rPr>
        <w:t>69.3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542.13</w:t>
      </w:r>
      <w:r>
        <w:rPr>
          <w:rFonts w:ascii="仿宋_GB2312" w:eastAsia="仿宋_GB2312"/>
          <w:sz w:val="32"/>
        </w:rPr>
        <w:t>万元，对个人和家庭的补助支出</w:t>
      </w:r>
      <w:r>
        <w:rPr>
          <w:rFonts w:hint="eastAsia" w:ascii="仿宋_GB2312" w:eastAsia="仿宋_GB2312"/>
          <w:sz w:val="32"/>
          <w:lang w:val="en-US" w:eastAsia="zh-CN"/>
        </w:rPr>
        <w:t>0.1</w:t>
      </w:r>
      <w:r>
        <w:rPr>
          <w:rFonts w:ascii="仿宋_GB2312" w:eastAsia="仿宋_GB2312"/>
          <w:sz w:val="32"/>
        </w:rPr>
        <w:t>万元，商品和服务支出</w:t>
      </w:r>
      <w:r>
        <w:rPr>
          <w:rFonts w:hint="eastAsia" w:ascii="仿宋_GB2312" w:eastAsia="仿宋_GB2312"/>
          <w:sz w:val="32"/>
          <w:lang w:val="en-US" w:eastAsia="zh-CN"/>
        </w:rPr>
        <w:t>43.8</w:t>
      </w:r>
      <w:r>
        <w:rPr>
          <w:rFonts w:ascii="仿宋_GB2312" w:eastAsia="仿宋_GB2312"/>
          <w:sz w:val="32"/>
        </w:rPr>
        <w:t>万元，</w:t>
      </w:r>
      <w:r>
        <w:rPr>
          <w:rFonts w:hint="eastAsia" w:ascii="仿宋_GB2312" w:eastAsia="仿宋_GB2312"/>
          <w:sz w:val="32"/>
          <w:lang w:val="en-US" w:eastAsia="zh-CN"/>
        </w:rPr>
        <w:t>资本性支出16.15万元</w:t>
      </w:r>
      <w:r>
        <w:rPr>
          <w:rFonts w:ascii="仿宋_GB2312" w:eastAsia="仿宋_GB2312"/>
          <w:sz w:val="32"/>
        </w:rPr>
        <w:t>。</w:t>
      </w:r>
    </w:p>
    <w:p w14:paraId="22D8B47A">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266.72</w:t>
      </w:r>
      <w:r>
        <w:rPr>
          <w:rFonts w:ascii="仿宋_GB2312" w:eastAsia="仿宋_GB2312"/>
          <w:sz w:val="32"/>
        </w:rPr>
        <w:t>万元，占支出总计的</w:t>
      </w:r>
      <w:r>
        <w:rPr>
          <w:rFonts w:hint="eastAsia" w:ascii="仿宋_GB2312" w:eastAsia="仿宋_GB2312"/>
          <w:sz w:val="32"/>
          <w:lang w:val="en-US" w:eastAsia="zh-CN"/>
        </w:rPr>
        <w:t>30.7</w:t>
      </w:r>
      <w:r>
        <w:rPr>
          <w:rFonts w:ascii="仿宋_GB2312" w:eastAsia="仿宋_GB2312"/>
          <w:sz w:val="32"/>
        </w:rPr>
        <w:t>%。主要包括</w:t>
      </w:r>
      <w:r>
        <w:rPr>
          <w:rFonts w:hint="eastAsia" w:ascii="仿宋_GB2312" w:hAnsi="宋体" w:eastAsia="仿宋_GB2312"/>
          <w:sz w:val="32"/>
          <w:szCs w:val="32"/>
        </w:rPr>
        <w:t>社会保障和就业支出</w:t>
      </w:r>
      <w:r>
        <w:rPr>
          <w:rFonts w:ascii="仿宋_GB2312" w:eastAsia="仿宋_GB2312"/>
          <w:sz w:val="32"/>
        </w:rPr>
        <w:t>等业务支出。</w:t>
      </w:r>
    </w:p>
    <w:p w14:paraId="7B3CF6D1">
      <w:pPr>
        <w:spacing w:line="540" w:lineRule="exact"/>
        <w:ind w:firstLine="660"/>
        <w:rPr>
          <w:rFonts w:hint="eastAsia" w:ascii="仿宋_GB2312" w:hAnsi="宋体" w:eastAsia="仿宋_GB2312"/>
          <w:sz w:val="32"/>
          <w:szCs w:val="32"/>
        </w:rPr>
      </w:pPr>
      <w:r>
        <w:rPr>
          <w:rFonts w:ascii="仿宋_GB2312" w:eastAsia="仿宋_GB2312"/>
          <w:sz w:val="32"/>
        </w:rPr>
        <w:t>与上年相比，今年支出增加</w:t>
      </w:r>
      <w:r>
        <w:rPr>
          <w:rFonts w:hint="eastAsia" w:ascii="仿宋_GB2312" w:eastAsia="仿宋_GB2312"/>
          <w:sz w:val="32"/>
          <w:lang w:val="en-US" w:eastAsia="zh-CN"/>
        </w:rPr>
        <w:t>428.71</w:t>
      </w:r>
      <w:r>
        <w:rPr>
          <w:rFonts w:ascii="仿宋_GB2312" w:eastAsia="仿宋_GB2312"/>
          <w:sz w:val="32"/>
        </w:rPr>
        <w:t>万元，增长</w:t>
      </w:r>
      <w:r>
        <w:rPr>
          <w:rFonts w:hint="eastAsia" w:ascii="仿宋_GB2312" w:eastAsia="仿宋_GB2312"/>
          <w:sz w:val="32"/>
          <w:lang w:val="en-US" w:eastAsia="zh-CN"/>
        </w:rPr>
        <w:t>97.39</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单位人员增加，人员支出增加；</w:t>
      </w:r>
      <w:r>
        <w:rPr>
          <w:rFonts w:ascii="黑体" w:eastAsia="黑体"/>
          <w:sz w:val="32"/>
        </w:rPr>
        <w:t>二是</w:t>
      </w:r>
      <w:r>
        <w:rPr>
          <w:rFonts w:hint="eastAsia" w:ascii="仿宋_GB2312" w:hAnsi="宋体" w:eastAsia="仿宋_GB2312"/>
          <w:sz w:val="32"/>
          <w:szCs w:val="32"/>
        </w:rPr>
        <w:t>项目增加，项目资金支出增加。</w:t>
      </w:r>
    </w:p>
    <w:p w14:paraId="343698B0">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250D6697">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本中心2021年0结余。</w:t>
      </w:r>
    </w:p>
    <w:p w14:paraId="65E1EC4E">
      <w:pPr>
        <w:pStyle w:val="6"/>
        <w:spacing w:line="560" w:lineRule="exact"/>
        <w:ind w:firstLine="660"/>
        <w:rPr>
          <w:rFonts w:hint="default" w:ascii="黑体" w:eastAsia="黑体"/>
          <w:sz w:val="32"/>
        </w:rPr>
      </w:pPr>
      <w:r>
        <w:rPr>
          <w:rFonts w:ascii="黑体" w:eastAsia="黑体"/>
          <w:sz w:val="32"/>
        </w:rPr>
        <w:t>二、财政拨款收入支出决算情况说明</w:t>
      </w:r>
    </w:p>
    <w:p w14:paraId="799621ED">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3AC1BEEF">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868.91</w:t>
      </w:r>
      <w:r>
        <w:rPr>
          <w:rFonts w:ascii="仿宋_GB2312" w:eastAsia="仿宋_GB2312"/>
          <w:sz w:val="32"/>
        </w:rPr>
        <w:t>万元，其中：基本支出</w:t>
      </w:r>
      <w:r>
        <w:rPr>
          <w:rFonts w:hint="eastAsia" w:ascii="仿宋_GB2312" w:eastAsia="仿宋_GB2312"/>
          <w:sz w:val="32"/>
          <w:lang w:val="en-US" w:eastAsia="zh-CN"/>
        </w:rPr>
        <w:t>602.18</w:t>
      </w:r>
      <w:r>
        <w:rPr>
          <w:rFonts w:ascii="仿宋_GB2312" w:eastAsia="仿宋_GB2312"/>
          <w:sz w:val="32"/>
        </w:rPr>
        <w:t>万元，项目支出</w:t>
      </w:r>
      <w:r>
        <w:rPr>
          <w:rFonts w:hint="eastAsia" w:ascii="仿宋_GB2312" w:eastAsia="仿宋_GB2312"/>
          <w:sz w:val="32"/>
          <w:lang w:val="en-US" w:eastAsia="zh-CN"/>
        </w:rPr>
        <w:t>266.72</w:t>
      </w:r>
      <w:r>
        <w:rPr>
          <w:rFonts w:ascii="仿宋_GB2312" w:eastAsia="仿宋_GB2312"/>
          <w:sz w:val="32"/>
        </w:rPr>
        <w:t>万元。与上年相比，财政拨款支出增加</w:t>
      </w:r>
      <w:r>
        <w:rPr>
          <w:rFonts w:hint="eastAsia" w:ascii="仿宋_GB2312" w:eastAsia="仿宋_GB2312"/>
          <w:sz w:val="32"/>
          <w:lang w:val="en-US" w:eastAsia="zh-CN"/>
        </w:rPr>
        <w:t>428.71</w:t>
      </w:r>
      <w:r>
        <w:rPr>
          <w:rFonts w:ascii="仿宋_GB2312" w:eastAsia="仿宋_GB2312"/>
          <w:sz w:val="32"/>
        </w:rPr>
        <w:t>万元，增长</w:t>
      </w:r>
      <w:r>
        <w:rPr>
          <w:rFonts w:hint="eastAsia" w:ascii="仿宋_GB2312" w:eastAsia="仿宋_GB2312"/>
          <w:sz w:val="32"/>
          <w:lang w:val="en-US" w:eastAsia="zh-CN"/>
        </w:rPr>
        <w:t>97.39</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rPr>
        <w:t>单位人员增加，人员支出增加；</w:t>
      </w:r>
      <w:r>
        <w:rPr>
          <w:rFonts w:ascii="黑体" w:eastAsia="黑体"/>
          <w:sz w:val="32"/>
        </w:rPr>
        <w:t>二是</w:t>
      </w:r>
      <w:r>
        <w:rPr>
          <w:rFonts w:hint="eastAsia" w:ascii="仿宋_GB2312" w:hAnsi="宋体" w:eastAsia="仿宋_GB2312"/>
          <w:sz w:val="32"/>
          <w:szCs w:val="32"/>
        </w:rPr>
        <w:t>项目增加，项目资金支出增加。</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149</w:t>
      </w:r>
      <w:r>
        <w:rPr>
          <w:rFonts w:ascii="仿宋_GB2312" w:eastAsia="仿宋_GB2312"/>
          <w:sz w:val="32"/>
        </w:rPr>
        <w:t>%，其中：基本支出完成年初预算的</w:t>
      </w:r>
      <w:r>
        <w:rPr>
          <w:rFonts w:hint="eastAsia" w:ascii="仿宋_GB2312" w:eastAsia="仿宋_GB2312"/>
          <w:sz w:val="32"/>
          <w:lang w:val="en-US" w:eastAsia="zh-CN"/>
        </w:rPr>
        <w:t>120.01</w:t>
      </w:r>
      <w:r>
        <w:rPr>
          <w:rFonts w:ascii="仿宋_GB2312" w:eastAsia="仿宋_GB2312"/>
          <w:sz w:val="32"/>
        </w:rPr>
        <w:t>%，项目支出完成年初预算的</w:t>
      </w:r>
      <w:r>
        <w:rPr>
          <w:rFonts w:hint="eastAsia" w:ascii="仿宋_GB2312" w:eastAsia="仿宋_GB2312"/>
          <w:sz w:val="32"/>
          <w:lang w:val="en-US" w:eastAsia="zh-CN"/>
        </w:rPr>
        <w:t>327.67</w:t>
      </w:r>
      <w:r>
        <w:rPr>
          <w:rFonts w:ascii="仿宋_GB2312" w:eastAsia="仿宋_GB2312"/>
          <w:sz w:val="32"/>
        </w:rPr>
        <w:t>%。</w:t>
      </w:r>
    </w:p>
    <w:p w14:paraId="4C26EC1A">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14:paraId="01345D8D">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868.91</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708.71</w:t>
      </w:r>
      <w:r>
        <w:rPr>
          <w:rFonts w:ascii="仿宋_GB2312" w:hAnsi="宋体" w:eastAsia="仿宋_GB2312"/>
          <w:sz w:val="32"/>
          <w:szCs w:val="32"/>
        </w:rPr>
        <w:t>万元，占</w:t>
      </w:r>
      <w:r>
        <w:rPr>
          <w:rFonts w:hint="eastAsia" w:ascii="仿宋_GB2312" w:hAnsi="宋体" w:eastAsia="仿宋_GB2312"/>
          <w:sz w:val="32"/>
          <w:szCs w:val="32"/>
          <w:lang w:val="en-US" w:eastAsia="zh-CN"/>
        </w:rPr>
        <w:t>81.56</w:t>
      </w:r>
      <w:r>
        <w:rPr>
          <w:rFonts w:ascii="仿宋_GB2312" w:hAnsi="宋体" w:eastAsia="仿宋_GB2312"/>
          <w:sz w:val="32"/>
          <w:szCs w:val="32"/>
        </w:rPr>
        <w:t>%；</w:t>
      </w:r>
      <w:r>
        <w:rPr>
          <w:rFonts w:hint="eastAsia" w:ascii="仿宋_GB2312" w:hAnsi="宋体" w:eastAsia="仿宋_GB2312"/>
          <w:sz w:val="32"/>
          <w:szCs w:val="32"/>
          <w:lang w:val="en-US" w:eastAsia="zh-CN"/>
        </w:rPr>
        <w:t>卫生健康支出34.18万元，占3.93%；住房保障支出112.79万元，占12.98%；灾害防治及应急管理支出13.23万元，占1.52%</w:t>
      </w:r>
      <w:r>
        <w:rPr>
          <w:rFonts w:ascii="仿宋_GB2312" w:hAnsi="宋体" w:eastAsia="仿宋_GB2312"/>
          <w:sz w:val="32"/>
          <w:szCs w:val="32"/>
        </w:rPr>
        <w:t>。</w:t>
      </w:r>
    </w:p>
    <w:p w14:paraId="76BDD48C">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w:t>
      </w:r>
      <w:r>
        <w:rPr>
          <w:rFonts w:hint="eastAsia" w:ascii="仿宋_GB2312" w:hAnsi="宋体" w:eastAsia="仿宋_GB2312"/>
          <w:sz w:val="32"/>
          <w:szCs w:val="32"/>
          <w:lang w:val="en-US" w:eastAsia="zh-CN"/>
        </w:rPr>
        <w:t>708.71</w:t>
      </w:r>
      <w:r>
        <w:rPr>
          <w:rFonts w:ascii="仿宋_GB2312" w:hAnsi="宋体" w:eastAsia="仿宋_GB2312"/>
          <w:sz w:val="32"/>
          <w:szCs w:val="32"/>
        </w:rPr>
        <w:t>万元，具体包括：</w:t>
      </w:r>
    </w:p>
    <w:p w14:paraId="46BD3069">
      <w:pPr>
        <w:ind w:firstLine="640" w:firstLineChars="20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rPr>
        <w:t>行政事业单位养老</w:t>
      </w:r>
      <w:r>
        <w:rPr>
          <w:rFonts w:hint="eastAsia" w:ascii="仿宋_GB2312" w:hAnsi="宋体" w:eastAsia="仿宋_GB2312"/>
          <w:sz w:val="32"/>
          <w:szCs w:val="32"/>
          <w:lang w:val="en-US" w:eastAsia="zh-CN"/>
        </w:rPr>
        <w:t>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50.37</w:t>
      </w:r>
      <w:r>
        <w:rPr>
          <w:rFonts w:ascii="仿宋_GB2312" w:hAnsi="宋体" w:eastAsia="仿宋_GB2312"/>
          <w:sz w:val="32"/>
          <w:szCs w:val="32"/>
        </w:rPr>
        <w:t>万元，</w:t>
      </w:r>
      <w:r>
        <w:rPr>
          <w:rFonts w:hint="eastAsia" w:ascii="仿宋" w:hAnsi="仿宋" w:eastAsia="仿宋"/>
          <w:sz w:val="32"/>
          <w:szCs w:val="32"/>
        </w:rPr>
        <w:t>主要是</w:t>
      </w:r>
      <w:r>
        <w:rPr>
          <w:rFonts w:hint="eastAsia" w:ascii="仿宋" w:hAnsi="仿宋" w:eastAsia="仿宋" w:cs="Arial"/>
          <w:color w:val="000000"/>
          <w:kern w:val="0"/>
          <w:sz w:val="32"/>
          <w:szCs w:val="32"/>
        </w:rPr>
        <w:t>机关事业单位基本养老保险缴费</w:t>
      </w:r>
      <w:r>
        <w:rPr>
          <w:rFonts w:hint="eastAsia" w:ascii="仿宋" w:hAnsi="仿宋" w:eastAsia="仿宋"/>
          <w:sz w:val="32"/>
          <w:szCs w:val="32"/>
        </w:rPr>
        <w:t>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197.61</w:t>
      </w:r>
      <w:r>
        <w:rPr>
          <w:rFonts w:ascii="仿宋_GB2312" w:hAnsi="宋体" w:eastAsia="仿宋_GB2312"/>
          <w:sz w:val="32"/>
          <w:szCs w:val="32"/>
        </w:rPr>
        <w:t>%，决算数大于年初预算数的原因主要是</w:t>
      </w:r>
      <w:r>
        <w:rPr>
          <w:rFonts w:hint="eastAsia" w:ascii="仿宋" w:hAnsi="仿宋" w:eastAsia="仿宋"/>
          <w:sz w:val="32"/>
          <w:szCs w:val="32"/>
        </w:rPr>
        <w:t>在职人数增加，导致经费大于年初预算数。</w:t>
      </w:r>
    </w:p>
    <w:p w14:paraId="09B3BD7C">
      <w:pPr>
        <w:spacing w:line="540" w:lineRule="exact"/>
        <w:ind w:firstLine="640" w:firstLineChars="200"/>
        <w:rPr>
          <w:rFonts w:hint="eastAsia" w:ascii="仿宋" w:hAnsi="仿宋" w:eastAsia="仿宋"/>
          <w:sz w:val="32"/>
          <w:szCs w:val="32"/>
          <w:highlight w:val="none"/>
        </w:rPr>
      </w:pPr>
      <w:r>
        <w:rPr>
          <w:rFonts w:ascii="仿宋_GB2312" w:hAnsi="宋体" w:eastAsia="仿宋_GB2312"/>
          <w:sz w:val="32"/>
          <w:szCs w:val="32"/>
        </w:rPr>
        <w:t>（2）</w:t>
      </w:r>
      <w:r>
        <w:rPr>
          <w:rFonts w:hint="eastAsia" w:ascii="仿宋_GB2312" w:hAnsi="宋体" w:eastAsia="仿宋_GB2312"/>
          <w:sz w:val="32"/>
          <w:szCs w:val="32"/>
          <w:lang w:val="en-US" w:eastAsia="zh-CN"/>
        </w:rPr>
        <w:t>社会保障和就业</w:t>
      </w:r>
      <w:r>
        <w:rPr>
          <w:rFonts w:ascii="仿宋_GB2312" w:hAnsi="宋体" w:eastAsia="仿宋_GB2312"/>
          <w:sz w:val="32"/>
          <w:szCs w:val="32"/>
        </w:rPr>
        <w:t>支出（类）</w:t>
      </w:r>
      <w:r>
        <w:rPr>
          <w:rFonts w:hint="eastAsia" w:ascii="仿宋_GB2312" w:hAnsi="宋体" w:eastAsia="仿宋_GB2312"/>
          <w:sz w:val="32"/>
          <w:szCs w:val="32"/>
        </w:rPr>
        <w:t>行政事业单位养老</w:t>
      </w:r>
      <w:r>
        <w:rPr>
          <w:rFonts w:hint="eastAsia" w:ascii="仿宋_GB2312" w:hAnsi="宋体" w:eastAsia="仿宋_GB2312"/>
          <w:sz w:val="32"/>
          <w:szCs w:val="32"/>
          <w:lang w:val="en-US" w:eastAsia="zh-CN"/>
        </w:rPr>
        <w:t>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0.01万元</w:t>
      </w:r>
      <w:r>
        <w:rPr>
          <w:rFonts w:ascii="仿宋_GB2312" w:hAnsi="宋体" w:eastAsia="仿宋_GB2312"/>
          <w:sz w:val="32"/>
          <w:szCs w:val="32"/>
        </w:rPr>
        <w:t>。</w:t>
      </w:r>
      <w:r>
        <w:rPr>
          <w:rFonts w:hint="eastAsia" w:ascii="仿宋_GB2312" w:hAnsi="宋体" w:eastAsia="仿宋_GB2312"/>
          <w:sz w:val="32"/>
          <w:szCs w:val="32"/>
          <w:lang w:val="en-US" w:eastAsia="zh-CN"/>
        </w:rPr>
        <w:t>主要是</w:t>
      </w:r>
      <w:r>
        <w:rPr>
          <w:rFonts w:hint="eastAsia" w:ascii="仿宋_GB2312" w:hAnsi="宋体" w:eastAsia="仿宋_GB2312"/>
          <w:sz w:val="32"/>
          <w:szCs w:val="32"/>
        </w:rPr>
        <w:t>机关事业单位职业年金缴费</w:t>
      </w:r>
      <w:r>
        <w:rPr>
          <w:rFonts w:hint="eastAsia" w:ascii="仿宋_GB2312" w:hAnsi="宋体" w:eastAsia="仿宋_GB2312"/>
          <w:sz w:val="32"/>
          <w:szCs w:val="32"/>
          <w:lang w:val="en-US" w:eastAsia="zh-CN"/>
        </w:rPr>
        <w:t>等支出，完成年初预算的0.08%，</w:t>
      </w:r>
      <w:r>
        <w:rPr>
          <w:rFonts w:hint="eastAsia" w:ascii="仿宋_GB2312" w:hAnsi="宋体" w:eastAsia="仿宋_GB2312"/>
          <w:sz w:val="32"/>
          <w:szCs w:val="32"/>
          <w:highlight w:val="none"/>
          <w:lang w:val="en-US" w:eastAsia="zh-CN"/>
        </w:rPr>
        <w:t>决算数小于年初预算数的原因主要是</w:t>
      </w:r>
      <w:r>
        <w:rPr>
          <w:rFonts w:hint="eastAsia" w:ascii="仿宋" w:hAnsi="仿宋" w:eastAsia="仿宋"/>
          <w:sz w:val="32"/>
          <w:szCs w:val="32"/>
          <w:highlight w:val="none"/>
        </w:rPr>
        <w:t>按照要求在职人员暂时只缴纳个人部分，对当年退休人员补缴单位部分及利息款，导致经费小于年初预算数。</w:t>
      </w:r>
    </w:p>
    <w:p w14:paraId="02EFCA49">
      <w:pPr>
        <w:ind w:firstLine="640" w:firstLineChars="200"/>
        <w:rPr>
          <w:rFonts w:hint="default" w:ascii="仿宋_GB2312" w:hAnsi="宋体" w:eastAsia="仿宋"/>
          <w:sz w:val="32"/>
          <w:szCs w:val="32"/>
          <w:highlight w:val="yellow"/>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highlight w:val="none"/>
          <w:lang w:val="en-US" w:eastAsia="zh-CN"/>
        </w:rPr>
        <w:t>社会保障和就业</w:t>
      </w:r>
      <w:r>
        <w:rPr>
          <w:rFonts w:ascii="仿宋_GB2312" w:hAnsi="宋体" w:eastAsia="仿宋_GB2312"/>
          <w:sz w:val="32"/>
          <w:szCs w:val="32"/>
          <w:highlight w:val="none"/>
        </w:rPr>
        <w:t>支出（类）</w:t>
      </w:r>
      <w:r>
        <w:rPr>
          <w:rFonts w:hint="eastAsia" w:ascii="仿宋_GB2312" w:hAnsi="宋体" w:eastAsia="仿宋_GB2312"/>
          <w:sz w:val="32"/>
          <w:szCs w:val="32"/>
          <w:highlight w:val="none"/>
        </w:rPr>
        <w:t>退役军人管理事务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款</w:t>
      </w:r>
      <w:r>
        <w:rPr>
          <w:rFonts w:hint="eastAsia" w:ascii="仿宋_GB2312" w:hAnsi="宋体" w:eastAsia="仿宋_GB2312"/>
          <w:sz w:val="32"/>
          <w:szCs w:val="32"/>
          <w:highlight w:val="none"/>
          <w:lang w:eastAsia="zh-CN"/>
        </w:rPr>
        <w:t>）  事业运行（</w:t>
      </w:r>
      <w:r>
        <w:rPr>
          <w:rFonts w:hint="eastAsia" w:ascii="仿宋_GB2312" w:hAnsi="宋体" w:eastAsia="仿宋_GB2312"/>
          <w:sz w:val="32"/>
          <w:szCs w:val="32"/>
          <w:highlight w:val="none"/>
          <w:lang w:val="en-US" w:eastAsia="zh-CN"/>
        </w:rPr>
        <w:t>项</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387.46万元。</w:t>
      </w:r>
      <w:r>
        <w:rPr>
          <w:rFonts w:hint="eastAsia" w:ascii="仿宋" w:hAnsi="仿宋" w:eastAsia="仿宋"/>
          <w:sz w:val="32"/>
          <w:szCs w:val="32"/>
          <w:highlight w:val="none"/>
        </w:rPr>
        <w:t>主要是工资、办公费等支出，</w:t>
      </w:r>
      <w:r>
        <w:rPr>
          <w:rFonts w:hint="eastAsia" w:ascii="仿宋" w:hAnsi="仿宋" w:eastAsia="仿宋"/>
          <w:sz w:val="32"/>
          <w:szCs w:val="32"/>
          <w:highlight w:val="none"/>
          <w:lang w:val="en-US" w:eastAsia="zh-CN"/>
        </w:rPr>
        <w:t>完成年初预算的186.27%，决算数大于年初预算数的原因主要是</w:t>
      </w:r>
      <w:r>
        <w:rPr>
          <w:rFonts w:hint="eastAsia" w:ascii="仿宋" w:hAnsi="仿宋" w:eastAsia="仿宋"/>
          <w:sz w:val="32"/>
          <w:szCs w:val="32"/>
        </w:rPr>
        <w:t>在职人数增加，导致经费大于年初预算数。</w:t>
      </w:r>
    </w:p>
    <w:p w14:paraId="18D8D9D2">
      <w:pPr>
        <w:spacing w:line="540" w:lineRule="exact"/>
        <w:ind w:firstLine="660"/>
        <w:rPr>
          <w:rFonts w:hint="default" w:ascii="仿宋_GB2312" w:hAnsi="宋体" w:eastAsia="仿宋"/>
          <w:sz w:val="32"/>
          <w:szCs w:val="32"/>
          <w:highlight w:val="none"/>
          <w:lang w:val="en-US" w:eastAsia="zh-CN"/>
        </w:rPr>
      </w:pPr>
      <w:r>
        <w:rPr>
          <w:rFonts w:hint="eastAsia" w:ascii="仿宋_GB2312" w:hAnsi="宋体" w:eastAsia="仿宋_GB2312"/>
          <w:sz w:val="32"/>
          <w:szCs w:val="32"/>
          <w:highlight w:val="none"/>
          <w:lang w:val="en-US" w:eastAsia="zh-CN"/>
        </w:rPr>
        <w:t>（4）社会保障和就业</w:t>
      </w:r>
      <w:r>
        <w:rPr>
          <w:rFonts w:ascii="仿宋_GB2312" w:hAnsi="宋体" w:eastAsia="仿宋_GB2312"/>
          <w:sz w:val="32"/>
          <w:szCs w:val="32"/>
          <w:highlight w:val="none"/>
        </w:rPr>
        <w:t>支出（类）</w:t>
      </w:r>
      <w:r>
        <w:rPr>
          <w:rFonts w:hint="eastAsia" w:ascii="仿宋_GB2312" w:hAnsi="宋体" w:eastAsia="仿宋_GB2312"/>
          <w:sz w:val="32"/>
          <w:szCs w:val="32"/>
          <w:highlight w:val="none"/>
        </w:rPr>
        <w:t>退役军人管理事务</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款</w:t>
      </w:r>
      <w:r>
        <w:rPr>
          <w:rFonts w:hint="eastAsia" w:ascii="仿宋_GB2312" w:hAnsi="宋体" w:eastAsia="仿宋_GB2312"/>
          <w:sz w:val="32"/>
          <w:szCs w:val="32"/>
          <w:highlight w:val="none"/>
          <w:lang w:eastAsia="zh-CN"/>
        </w:rPr>
        <w:t>）其他退役军人事务管理支出（</w:t>
      </w:r>
      <w:r>
        <w:rPr>
          <w:rFonts w:hint="eastAsia" w:ascii="仿宋_GB2312" w:hAnsi="宋体" w:eastAsia="仿宋_GB2312"/>
          <w:sz w:val="32"/>
          <w:szCs w:val="32"/>
          <w:highlight w:val="none"/>
          <w:lang w:val="en-US" w:eastAsia="zh-CN"/>
        </w:rPr>
        <w:t>项</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270.87万元。</w:t>
      </w:r>
      <w:r>
        <w:rPr>
          <w:rFonts w:hint="eastAsia" w:ascii="仿宋" w:hAnsi="仿宋" w:eastAsia="仿宋"/>
          <w:sz w:val="32"/>
          <w:szCs w:val="32"/>
          <w:highlight w:val="none"/>
        </w:rPr>
        <w:t>主要是用于在职人员绩效工资、新增人员办公设备及街道服务站建设等支出，完成年初预算的</w:t>
      </w:r>
      <w:r>
        <w:rPr>
          <w:rFonts w:hint="eastAsia" w:ascii="仿宋" w:hAnsi="仿宋" w:eastAsia="仿宋"/>
          <w:sz w:val="32"/>
          <w:szCs w:val="32"/>
          <w:highlight w:val="none"/>
          <w:lang w:val="en-US" w:eastAsia="zh-CN"/>
        </w:rPr>
        <w:t>114%，</w:t>
      </w:r>
      <w:r>
        <w:rPr>
          <w:rFonts w:hint="eastAsia" w:ascii="仿宋" w:hAnsi="仿宋" w:eastAsia="仿宋"/>
          <w:sz w:val="32"/>
          <w:szCs w:val="32"/>
        </w:rPr>
        <w:t>决算数大于年初预算数的原因主要</w:t>
      </w:r>
      <w:r>
        <w:rPr>
          <w:rFonts w:hint="eastAsia" w:ascii="仿宋" w:hAnsi="仿宋" w:eastAsia="仿宋"/>
          <w:sz w:val="32"/>
          <w:szCs w:val="32"/>
          <w:lang w:val="en-US" w:eastAsia="zh-CN"/>
        </w:rPr>
        <w:t>是</w:t>
      </w:r>
      <w:r>
        <w:rPr>
          <w:rFonts w:hint="eastAsia" w:ascii="仿宋" w:hAnsi="仿宋" w:eastAsia="仿宋"/>
          <w:sz w:val="32"/>
          <w:szCs w:val="32"/>
        </w:rPr>
        <w:t>在职人数增加，导致经费大于年初预算数。</w:t>
      </w:r>
    </w:p>
    <w:p w14:paraId="6114E414">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卫生健康支出34.18万元，具体包括：</w:t>
      </w:r>
    </w:p>
    <w:p w14:paraId="0F22CB26">
      <w:pPr>
        <w:ind w:firstLine="640" w:firstLineChars="200"/>
        <w:rPr>
          <w:rFonts w:hint="default" w:ascii="仿宋_GB2312" w:hAnsi="宋体" w:eastAsia="仿宋"/>
          <w:sz w:val="32"/>
          <w:szCs w:val="32"/>
          <w:highlight w:val="yellow"/>
          <w:lang w:val="en-US"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highlight w:val="none"/>
          <w:lang w:val="en-US" w:eastAsia="zh-CN"/>
        </w:rPr>
        <w:t>卫生健康支出（类）行政事业单位医疗（款）事业单位医疗（项）32.80万元。</w:t>
      </w:r>
      <w:r>
        <w:rPr>
          <w:rFonts w:hint="eastAsia" w:ascii="仿宋" w:hAnsi="仿宋" w:eastAsia="仿宋"/>
          <w:sz w:val="32"/>
          <w:szCs w:val="32"/>
        </w:rPr>
        <w:t>主要是</w:t>
      </w:r>
      <w:bookmarkStart w:id="0" w:name="_GoBack"/>
      <w:bookmarkEnd w:id="0"/>
      <w:r>
        <w:rPr>
          <w:rFonts w:hint="eastAsia" w:ascii="仿宋_GB2312" w:hAnsi="宋体" w:eastAsia="仿宋_GB2312"/>
          <w:sz w:val="32"/>
          <w:szCs w:val="32"/>
        </w:rPr>
        <w:t>在职人员医疗经费等支出</w:t>
      </w:r>
      <w:r>
        <w:rPr>
          <w:rFonts w:hint="eastAsia" w:ascii="仿宋" w:hAnsi="仿宋" w:eastAsia="仿宋"/>
          <w:sz w:val="32"/>
          <w:szCs w:val="32"/>
          <w:lang w:eastAsia="zh-CN"/>
        </w:rPr>
        <w:t>，</w:t>
      </w:r>
      <w:r>
        <w:rPr>
          <w:rFonts w:hint="eastAsia" w:ascii="仿宋" w:hAnsi="仿宋" w:eastAsia="仿宋"/>
          <w:sz w:val="32"/>
          <w:szCs w:val="32"/>
          <w:lang w:val="en-US" w:eastAsia="zh-CN"/>
        </w:rPr>
        <w:t>完成年初预算的230.01%，决算数大于年初预算数的原因主要是</w:t>
      </w:r>
      <w:r>
        <w:rPr>
          <w:rFonts w:hint="eastAsia" w:ascii="仿宋_GB2312" w:hAnsi="宋体" w:eastAsia="仿宋_GB2312"/>
          <w:sz w:val="32"/>
          <w:szCs w:val="32"/>
        </w:rPr>
        <w:t>在职人数增加，导致经费大于年初预算数。</w:t>
      </w:r>
    </w:p>
    <w:p w14:paraId="52587380">
      <w:pPr>
        <w:spacing w:line="540" w:lineRule="exact"/>
        <w:ind w:firstLine="660"/>
        <w:rPr>
          <w:rFonts w:hint="default"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（2）卫生健康支出（类）行政事业单位医疗（款）其他行政事业单位医疗支出（项）1.38万元。</w:t>
      </w:r>
      <w:r>
        <w:rPr>
          <w:rFonts w:hint="eastAsia" w:ascii="仿宋_GB2312" w:hAnsi="宋体" w:eastAsia="仿宋_GB2312"/>
          <w:sz w:val="32"/>
          <w:szCs w:val="32"/>
          <w:highlight w:val="none"/>
        </w:rPr>
        <w:t>主要是事业单位医疗等支出</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完成年初预算的166.27%，决算数大于年初预算数的原因主要是</w:t>
      </w:r>
      <w:r>
        <w:rPr>
          <w:rFonts w:hint="eastAsia" w:ascii="仿宋_GB2312" w:hAnsi="宋体" w:eastAsia="仿宋_GB2312"/>
          <w:sz w:val="32"/>
          <w:szCs w:val="32"/>
          <w:highlight w:val="none"/>
        </w:rPr>
        <w:t>在职人数增加，导致经费大于年初预算数。</w:t>
      </w:r>
    </w:p>
    <w:p w14:paraId="2FFD0FA5">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3.住房保障支出112.79万元。具体包括：</w:t>
      </w:r>
    </w:p>
    <w:p w14:paraId="17FA2123">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（1）住房保障支出（类）住房改革支出（款）住房公积金（项）108.16万元，主要是在职人员</w:t>
      </w:r>
      <w:r>
        <w:rPr>
          <w:rFonts w:hint="eastAsia" w:ascii="仿宋_GB2312" w:hAnsi="宋体" w:eastAsia="仿宋_GB2312"/>
          <w:sz w:val="32"/>
          <w:szCs w:val="32"/>
        </w:rPr>
        <w:t>住房公积金支出，完成年初预算的</w:t>
      </w:r>
      <w:r>
        <w:rPr>
          <w:rFonts w:hint="eastAsia" w:ascii="仿宋_GB2312" w:hAnsi="宋体" w:eastAsia="仿宋_GB2312"/>
          <w:sz w:val="32"/>
          <w:szCs w:val="32"/>
          <w:lang w:val="en-US" w:eastAsia="zh-CN"/>
        </w:rPr>
        <w:t>136.81%，</w:t>
      </w:r>
      <w:r>
        <w:rPr>
          <w:rFonts w:hint="eastAsia" w:ascii="仿宋_GB2312" w:hAnsi="宋体" w:eastAsia="仿宋_GB2312"/>
          <w:sz w:val="32"/>
          <w:szCs w:val="32"/>
        </w:rPr>
        <w:t>决算数大于年初预算数的原因主要是在职人数增加，导致经费大于年初预算数。</w:t>
      </w:r>
    </w:p>
    <w:p w14:paraId="7F2780C9">
      <w:pPr>
        <w:spacing w:line="560" w:lineRule="exact"/>
        <w:ind w:firstLine="660"/>
        <w:rPr>
          <w:rFonts w:hint="default" w:ascii="仿宋_GB2312" w:hAnsi="宋体" w:eastAsia="仿宋_GB2312"/>
          <w:sz w:val="32"/>
          <w:szCs w:val="32"/>
          <w:highlight w:val="yellow"/>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highlight w:val="none"/>
          <w:lang w:val="en-US" w:eastAsia="zh-CN"/>
        </w:rPr>
        <w:t>住房保障支出（类）住房改革支出（款）购房补贴（项）4.63万元。主要是职工住房分配货币化补贴，年初无此项目预算，主要是因为我单位有符合发放条件的员工提出申请，经区房产局审批通过后请款并下发。</w:t>
      </w:r>
    </w:p>
    <w:p w14:paraId="38944D51">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4.灾害防治及应急管理支出13.23万元。具体包括：</w:t>
      </w:r>
    </w:p>
    <w:p w14:paraId="4146615E">
      <w:pPr>
        <w:spacing w:line="540" w:lineRule="exact"/>
        <w:ind w:firstLine="660"/>
        <w:rPr>
          <w:rFonts w:hint="eastAsia" w:ascii="仿宋_GB2312" w:hAnsi="宋体" w:eastAsia="仿宋_GB2312"/>
          <w:sz w:val="32"/>
          <w:szCs w:val="32"/>
          <w:highlight w:val="yellow"/>
          <w:lang w:val="en-US"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highlight w:val="none"/>
          <w:lang w:val="en-US" w:eastAsia="zh-CN"/>
        </w:rPr>
        <w:t>灾害防治及应急管理支出（类）应急管理事务（款）其他应急管理支出（项）13.23万元。</w:t>
      </w:r>
      <w:r>
        <w:rPr>
          <w:rFonts w:hint="eastAsia" w:ascii="仿宋_GB2312" w:hAnsi="宋体" w:eastAsia="仿宋_GB2312"/>
          <w:sz w:val="32"/>
          <w:szCs w:val="32"/>
          <w:highlight w:val="none"/>
        </w:rPr>
        <w:t>主要是单位安全奖支出，年初无</w:t>
      </w:r>
      <w:r>
        <w:rPr>
          <w:rFonts w:hint="eastAsia" w:ascii="仿宋_GB2312" w:hAnsi="宋体" w:eastAsia="仿宋_GB2312"/>
          <w:sz w:val="32"/>
          <w:szCs w:val="32"/>
          <w:highlight w:val="none"/>
          <w:lang w:val="en-US" w:eastAsia="zh-CN"/>
        </w:rPr>
        <w:t>此</w:t>
      </w:r>
      <w:r>
        <w:rPr>
          <w:rFonts w:hint="eastAsia" w:ascii="仿宋_GB2312" w:hAnsi="宋体" w:eastAsia="仿宋_GB2312"/>
          <w:sz w:val="32"/>
          <w:szCs w:val="32"/>
          <w:highlight w:val="none"/>
        </w:rPr>
        <w:t>预算</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主要是因为202</w:t>
      </w:r>
      <w:r>
        <w:rPr>
          <w:rFonts w:hint="eastAsia" w:ascii="仿宋_GB2312" w:hAnsi="宋体" w:eastAsia="仿宋_GB2312"/>
          <w:sz w:val="32"/>
          <w:szCs w:val="32"/>
          <w:highlight w:val="none"/>
          <w:lang w:val="en-US" w:eastAsia="zh-CN"/>
        </w:rPr>
        <w:t>1</w:t>
      </w:r>
      <w:r>
        <w:rPr>
          <w:rFonts w:hint="eastAsia" w:ascii="仿宋_GB2312" w:hAnsi="宋体" w:eastAsia="仿宋_GB2312"/>
          <w:sz w:val="32"/>
          <w:szCs w:val="32"/>
          <w:highlight w:val="none"/>
        </w:rPr>
        <w:t>年发放20</w:t>
      </w:r>
      <w:r>
        <w:rPr>
          <w:rFonts w:hint="eastAsia" w:ascii="仿宋_GB2312" w:hAnsi="宋体" w:eastAsia="仿宋_GB2312"/>
          <w:sz w:val="32"/>
          <w:szCs w:val="32"/>
          <w:highlight w:val="none"/>
          <w:lang w:val="en-US" w:eastAsia="zh-CN"/>
        </w:rPr>
        <w:t>20</w:t>
      </w:r>
      <w:r>
        <w:rPr>
          <w:rFonts w:hint="eastAsia" w:ascii="仿宋_GB2312" w:hAnsi="宋体" w:eastAsia="仿宋_GB2312"/>
          <w:sz w:val="32"/>
          <w:szCs w:val="32"/>
          <w:highlight w:val="none"/>
        </w:rPr>
        <w:t>年度安全生产奖金，安全生产奖金由区财政统筹安排，单位未单列此预算项。</w:t>
      </w:r>
    </w:p>
    <w:p w14:paraId="26AC7463">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22893FFE">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14:paraId="2FB994D5">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52212B9E">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14:paraId="3D88D3FB">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5C908404">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47445FC8">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77F828A9">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3C2D16D2">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59CA0C0E">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15C3E175">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2A54F5C3">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6B855162">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602.18</w:t>
      </w:r>
      <w:r>
        <w:rPr>
          <w:rFonts w:ascii="仿宋_GB2312" w:eastAsia="仿宋_GB2312"/>
          <w:sz w:val="32"/>
        </w:rPr>
        <w:t>万元，其中：人员经费</w:t>
      </w:r>
      <w:r>
        <w:rPr>
          <w:rFonts w:hint="eastAsia" w:ascii="仿宋_GB2312" w:eastAsia="仿宋_GB2312"/>
          <w:sz w:val="32"/>
          <w:lang w:val="en-US" w:eastAsia="zh-CN"/>
        </w:rPr>
        <w:t>542.23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59.95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5A9B815">
      <w:pPr>
        <w:pStyle w:val="6"/>
        <w:spacing w:line="560" w:lineRule="exact"/>
        <w:ind w:firstLine="640"/>
        <w:rPr>
          <w:rFonts w:hint="default" w:ascii="黑体" w:eastAsia="黑体"/>
          <w:sz w:val="32"/>
        </w:rPr>
      </w:pPr>
      <w:r>
        <w:rPr>
          <w:rFonts w:ascii="黑体" w:eastAsia="黑体"/>
          <w:sz w:val="32"/>
        </w:rPr>
        <w:t>五、其他重要事项的情况说明</w:t>
      </w:r>
    </w:p>
    <w:p w14:paraId="280EAA7D">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668CE6E2">
      <w:pPr>
        <w:pStyle w:val="6"/>
        <w:spacing w:line="560" w:lineRule="exact"/>
        <w:ind w:firstLine="640"/>
        <w:rPr>
          <w:rFonts w:hint="default" w:ascii="仿宋_GB2312" w:eastAsia="仿宋_GB2312"/>
          <w:sz w:val="32"/>
          <w:lang w:val="en-US" w:eastAsia="zh-CN"/>
        </w:rPr>
      </w:pPr>
      <w:r>
        <w:rPr>
          <w:rFonts w:ascii="仿宋_GB2312" w:eastAsia="仿宋_GB2312"/>
          <w:sz w:val="32"/>
        </w:rPr>
        <w:t>2021年度机关运行经费支出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主要原因是沈阳市浑南区退役军人服务中心属于事业单位，无机关运行经费。</w:t>
      </w:r>
    </w:p>
    <w:p w14:paraId="4DCAF3AF">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7A1FC4E3">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7BFA2D02">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14:paraId="461130FB">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4D1F5A62">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69C9DA7A">
      <w:pPr>
        <w:pStyle w:val="6"/>
        <w:spacing w:line="560" w:lineRule="exact"/>
        <w:ind w:firstLine="640" w:firstLineChars="200"/>
        <w:rPr>
          <w:rFonts w:hint="default" w:eastAsia="宋体"/>
          <w:b/>
          <w:sz w:val="36"/>
          <w:lang w:val="en-US" w:eastAsia="zh-CN"/>
        </w:rPr>
      </w:pPr>
      <w:r>
        <w:rPr>
          <w:rFonts w:hint="eastAsia" w:ascii="仿宋_GB2312" w:eastAsia="仿宋_GB2312"/>
          <w:sz w:val="32"/>
          <w:lang w:val="en-US" w:eastAsia="zh-CN"/>
        </w:rPr>
        <w:t>2021年不涉及民生项目和重点支出项目，因此本单位无绩效自评及部门评价。</w:t>
      </w:r>
    </w:p>
    <w:p w14:paraId="5C5BF040">
      <w:pPr>
        <w:pStyle w:val="9"/>
        <w:autoSpaceDN w:val="0"/>
        <w:spacing w:line="560" w:lineRule="exact"/>
        <w:jc w:val="center"/>
        <w:rPr>
          <w:b/>
          <w:bCs/>
          <w:sz w:val="36"/>
          <w:szCs w:val="36"/>
        </w:rPr>
      </w:pPr>
      <w:r>
        <w:rPr>
          <w:rFonts w:hint="eastAsia"/>
          <w:b/>
          <w:bCs/>
          <w:sz w:val="36"/>
          <w:szCs w:val="36"/>
        </w:rPr>
        <w:t>第三部分 名词解释</w:t>
      </w:r>
    </w:p>
    <w:p w14:paraId="2EC0359B">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5708AD2B">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21D43CC6">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6B9F99B4">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66665348">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03957890">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29EEA6DE">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6124AE16">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7DAF377A">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A116DA3">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2964D1D8">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0D76E31F">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06CCE99F">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1E880B78">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6ED49A7">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609961E">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434290D3">
      <w:pPr>
        <w:pStyle w:val="6"/>
        <w:spacing w:line="560" w:lineRule="exact"/>
        <w:ind w:firstLine="640"/>
        <w:rPr>
          <w:rFonts w:hint="default" w:ascii="仿宋_GB2312" w:eastAsia="仿宋_GB2312"/>
          <w:i/>
          <w:sz w:val="32"/>
          <w:highlight w:val="none"/>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42F7984A">
      <w:pPr>
        <w:pStyle w:val="6"/>
        <w:spacing w:line="560" w:lineRule="exact"/>
        <w:ind w:firstLine="640"/>
        <w:rPr>
          <w:rFonts w:hint="default" w:ascii="仿宋_GB2312" w:eastAsia="仿宋_GB2312"/>
          <w:i/>
          <w:sz w:val="32"/>
          <w:u w:val="single"/>
        </w:rPr>
      </w:pPr>
    </w:p>
    <w:p w14:paraId="6E7C7297">
      <w:pPr>
        <w:pStyle w:val="6"/>
        <w:spacing w:line="560" w:lineRule="atLeast"/>
        <w:jc w:val="left"/>
        <w:rPr>
          <w:rFonts w:hint="default" w:ascii="仿宋_GB2312" w:hAnsi="仿宋_GB2312" w:eastAsia="仿宋_GB2312" w:cs="仿宋_GB2312"/>
          <w:b/>
          <w:sz w:val="52"/>
          <w:szCs w:val="52"/>
        </w:rPr>
      </w:pPr>
    </w:p>
    <w:p w14:paraId="01C6D47D">
      <w:pPr>
        <w:pStyle w:val="6"/>
        <w:spacing w:line="560" w:lineRule="atLeast"/>
        <w:jc w:val="left"/>
        <w:rPr>
          <w:rFonts w:hint="default" w:ascii="仿宋_GB2312" w:hAnsi="仿宋_GB2312" w:eastAsia="仿宋_GB2312" w:cs="仿宋_GB2312"/>
          <w:b/>
          <w:sz w:val="52"/>
          <w:szCs w:val="52"/>
        </w:rPr>
      </w:pPr>
    </w:p>
    <w:p w14:paraId="0FA2FDB3">
      <w:pPr>
        <w:pStyle w:val="6"/>
        <w:spacing w:line="560" w:lineRule="atLeast"/>
        <w:jc w:val="left"/>
        <w:rPr>
          <w:rFonts w:hint="default" w:ascii="仿宋_GB2312" w:hAnsi="仿宋_GB2312" w:eastAsia="仿宋_GB2312" w:cs="仿宋_GB2312"/>
          <w:b/>
          <w:sz w:val="52"/>
          <w:szCs w:val="52"/>
        </w:rPr>
      </w:pPr>
    </w:p>
    <w:p w14:paraId="6391FC5F">
      <w:pPr>
        <w:numPr>
          <w:ilvl w:val="0"/>
          <w:numId w:val="1"/>
        </w:numPr>
        <w:jc w:val="center"/>
        <w:rPr>
          <w:rFonts w:hint="eastAsia" w:ascii="仿宋_GB2312" w:hAnsi="仿宋_GB2312" w:eastAsia="仿宋_GB2312" w:cs="仿宋_GB2312"/>
          <w:b/>
          <w:sz w:val="52"/>
          <w:szCs w:val="52"/>
          <w:lang w:val="en-US" w:eastAsia="zh-CN"/>
        </w:rPr>
      </w:pPr>
      <w:r>
        <w:rPr>
          <w:rFonts w:hint="eastAsia" w:ascii="仿宋_GB2312" w:hAnsi="仿宋_GB2312" w:eastAsia="仿宋_GB2312" w:cs="仿宋_GB2312"/>
          <w:b/>
          <w:sz w:val="52"/>
          <w:szCs w:val="52"/>
          <w:lang w:val="en-US" w:eastAsia="zh-CN"/>
        </w:rPr>
        <w:t>辽宁省沈阳市浑南区退役军人服务中心</w:t>
      </w:r>
    </w:p>
    <w:p w14:paraId="713670AC">
      <w:pPr>
        <w:numPr>
          <w:ilvl w:val="0"/>
          <w:numId w:val="0"/>
        </w:numPr>
        <w:jc w:val="center"/>
        <w:rPr>
          <w:rFonts w:hint="default" w:ascii="仿宋_GB2312" w:hAnsi="宋体" w:eastAsia="仿宋_GB2312"/>
          <w:kern w:val="0"/>
          <w:sz w:val="32"/>
        </w:rPr>
      </w:pPr>
      <w:r>
        <w:rPr>
          <w:rFonts w:ascii="仿宋_GB2312" w:hAnsi="仿宋_GB2312" w:eastAsia="仿宋_GB2312" w:cs="仿宋_GB2312"/>
          <w:b/>
          <w:sz w:val="52"/>
          <w:szCs w:val="52"/>
        </w:rPr>
        <w:t>2021年度决算表</w:t>
      </w:r>
    </w:p>
    <w:p w14:paraId="2E6CDF18">
      <w:pPr>
        <w:rPr>
          <w:rFonts w:hint="default" w:ascii="仿宋_GB2312" w:hAnsi="宋体" w:eastAsia="仿宋_GB2312"/>
          <w:kern w:val="0"/>
          <w:sz w:val="32"/>
        </w:rPr>
      </w:pPr>
    </w:p>
    <w:p w14:paraId="1D826CF3">
      <w:pPr>
        <w:rPr>
          <w:rFonts w:hint="default" w:ascii="仿宋_GB2312" w:hAnsi="宋体" w:eastAsia="仿宋_GB2312"/>
          <w:kern w:val="0"/>
          <w:sz w:val="32"/>
        </w:rPr>
      </w:pPr>
    </w:p>
    <w:p w14:paraId="6FD2A548">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31D8C">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45FFA">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676A1">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4F2F5">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D79A58">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9486E">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6E5C7D"/>
    <w:multiLevelType w:val="singleLevel"/>
    <w:tmpl w:val="3E6E5C7D"/>
    <w:lvl w:ilvl="0" w:tentative="0">
      <w:start w:val="4"/>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C4782E"/>
    <w:rsid w:val="0ECB7368"/>
    <w:rsid w:val="11612EA5"/>
    <w:rsid w:val="1C635C29"/>
    <w:rsid w:val="2E4F6256"/>
    <w:rsid w:val="315D2224"/>
    <w:rsid w:val="36230505"/>
    <w:rsid w:val="362B5D4A"/>
    <w:rsid w:val="43D02B01"/>
    <w:rsid w:val="45A469F8"/>
    <w:rsid w:val="48B26C0F"/>
    <w:rsid w:val="54F6469B"/>
    <w:rsid w:val="595B49B0"/>
    <w:rsid w:val="5B0B0E08"/>
    <w:rsid w:val="5B697371"/>
    <w:rsid w:val="673C6F2C"/>
    <w:rsid w:val="68AA0BDE"/>
    <w:rsid w:val="6BB13ADC"/>
    <w:rsid w:val="70455963"/>
    <w:rsid w:val="724179B2"/>
    <w:rsid w:val="7D024843"/>
    <w:rsid w:val="7EB82790"/>
    <w:rsid w:val="7F7367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5037</Words>
  <Characters>5462</Characters>
  <Lines>37</Lines>
  <Paragraphs>10</Paragraphs>
  <TotalTime>1</TotalTime>
  <ScaleCrop>false</ScaleCrop>
  <LinksUpToDate>false</LinksUpToDate>
  <CharactersWithSpaces>5507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2026-02-02T01:17:34Z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7DC81BC0686F4DACA576D113A2B235DE_13</vt:lpwstr>
  </property>
  <property fmtid="{D5CDD505-2E9C-101B-9397-08002B2CF9AE}" pid="4" name="KSOTemplateDocerSaveRecord">
    <vt:lpwstr>eyJoZGlkIjoiNzZiZTQ3ZmI1OTFmODUzNzgwMGRlNDBmMWZiZDQzMjEiLCJ1c2VySWQiOiIyMzQ0MjI2NjQifQ==</vt:lpwstr>
  </property>
</Properties>
</file>